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993B4D" w:rsidRPr="00AE26F2" w:rsidP="00AE26F2">
      <w:pPr>
        <w:spacing w:line="240" w:lineRule="auto"/>
        <w:rPr>
          <w:rFonts w:ascii="Arial" w:hAnsi="Arial"/>
          <w:color w:val="31849B" w:themeColor="accent5" w:themeShade="BF"/>
          <w:sz w:val="28"/>
          <w:szCs w:val="28"/>
        </w:rPr>
      </w:pPr>
      <w:r>
        <w:rPr>
          <w:noProof/>
        </w:rPr>
        <w:drawing>
          <wp:inline distT="0" distB="0" distL="0" distR="0">
            <wp:extent cx="2856230" cy="113858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hropLogo2015_Large.png"/>
                    <pic:cNvPicPr/>
                  </pic:nvPicPr>
                  <pic:blipFill>
                    <a:blip xmlns:r="http://schemas.openxmlformats.org/officeDocument/2006/relationships" r:embed="rId4">
                      <a:extLst>
                        <a:ext uri="{28A0092B-C50C-407E-A947-70E740481C1C}">
                          <a14:useLocalDpi xmlns:a14="http://schemas.microsoft.com/office/drawing/2010/main" val="0"/>
                        </a:ext>
                      </a:extLst>
                    </a:blip>
                    <a:stretch>
                      <a:fillRect/>
                    </a:stretch>
                  </pic:blipFill>
                  <pic:spPr>
                    <a:xfrm>
                      <a:off x="0" y="0"/>
                      <a:ext cx="2856508" cy="1138698"/>
                    </a:xfrm>
                    <a:prstGeom prst="rect">
                      <a:avLst/>
                    </a:prstGeom>
                  </pic:spPr>
                </pic:pic>
              </a:graphicData>
            </a:graphic>
          </wp:inline>
        </w:drawing>
      </w:r>
      <w:r>
        <w:rPr>
          <w:rFonts w:ascii="Arial" w:hAnsi="Arial"/>
          <w:color w:val="17365D" w:themeColor="text2" w:themeShade="BF"/>
          <w:sz w:val="28"/>
          <w:szCs w:val="28"/>
        </w:rPr>
        <w:br/>
      </w:r>
      <w:r>
        <w:rPr>
          <w:rFonts w:ascii="Arial" w:hAnsi="Arial"/>
          <w:color w:val="17365D" w:themeColor="text2" w:themeShade="BF"/>
          <w:sz w:val="28"/>
          <w:szCs w:val="28"/>
        </w:rPr>
        <w:br/>
      </w:r>
      <w:r w:rsidR="00CC477A">
        <w:rPr>
          <w:noProof/>
        </w:rPr>
        <w:drawing>
          <wp:anchor distT="0" distB="0" distL="114300" distR="114300" simplePos="0" relativeHeight="251658240" behindDoc="0" locked="0" layoutInCell="1" allowOverlap="1">
            <wp:simplePos x="0" y="0"/>
            <wp:positionH relativeFrom="column">
              <wp:posOffset>7200900</wp:posOffset>
            </wp:positionH>
            <wp:positionV relativeFrom="paragraph">
              <wp:posOffset>-100330</wp:posOffset>
            </wp:positionV>
            <wp:extent cx="1567180" cy="624205"/>
            <wp:effectExtent l="0" t="0" r="7620" b="10795"/>
            <wp:wrapThrough wrapText="bothSides">
              <wp:wrapPolygon>
                <wp:start x="6652" y="0"/>
                <wp:lineTo x="2100" y="5274"/>
                <wp:lineTo x="1400" y="7032"/>
                <wp:lineTo x="1750" y="15821"/>
                <wp:lineTo x="0" y="15821"/>
                <wp:lineTo x="0" y="20216"/>
                <wp:lineTo x="1750" y="21095"/>
                <wp:lineTo x="21355" y="21095"/>
                <wp:lineTo x="21355" y="16700"/>
                <wp:lineTo x="20655" y="15821"/>
                <wp:lineTo x="18904" y="15821"/>
                <wp:lineTo x="19955" y="8789"/>
                <wp:lineTo x="18904" y="5274"/>
                <wp:lineTo x="14353" y="0"/>
                <wp:lineTo x="665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kinsCME_logo_lrg.png"/>
                    <pic:cNvPicPr/>
                  </pic:nvPicPr>
                  <pic:blipFill>
                    <a:blip xmlns:r="http://schemas.openxmlformats.org/officeDocument/2006/relationships" r:embed="rId4">
                      <a:extLst>
                        <a:ext uri="{28A0092B-C50C-407E-A947-70E740481C1C}">
                          <a14:useLocalDpi xmlns:a14="http://schemas.microsoft.com/office/drawing/2010/main" val="0"/>
                        </a:ext>
                      </a:extLst>
                    </a:blip>
                    <a:stretch>
                      <a:fillRect/>
                    </a:stretch>
                  </pic:blipFill>
                  <pic:spPr>
                    <a:xfrm>
                      <a:off x="0" y="0"/>
                      <a:ext cx="1567180" cy="624205"/>
                    </a:xfrm>
                    <a:prstGeom prst="rect">
                      <a:avLst/>
                    </a:prstGeom>
                  </pic:spPr>
                </pic:pic>
              </a:graphicData>
            </a:graphic>
          </wp:anchor>
        </w:drawing>
      </w:r>
      <w:r w:rsidRPr="00AE7301">
        <w:rPr>
          <w:rFonts w:ascii="Arial" w:hAnsi="Arial"/>
          <w:noProof/>
          <w:color w:val="17365D" w:themeColor="text2" w:themeShade="BF"/>
          <w:sz w:val="28"/>
          <w:szCs w:val="28"/>
        </w:rPr>
        <w:t>The First</w:t>
      </w:r>
      <w:r w:rsidRPr="00AE7301" w:rsidR="004D5DAE">
        <w:rPr>
          <w:rFonts w:ascii="Arial" w:hAnsi="Arial"/>
          <w:color w:val="17365D" w:themeColor="text2" w:themeShade="BF"/>
          <w:sz w:val="28"/>
          <w:szCs w:val="28"/>
        </w:rPr>
        <w:t xml:space="preserve"> Annual Dr. Michael D. Ammazzalorso Pancreatic Cancer Research &amp; Education Fund Pancreatic Cancer Symposium</w:t>
      </w:r>
      <w:r w:rsidRPr="00AE7301">
        <w:rPr>
          <w:rFonts w:ascii="Arial" w:hAnsi="Arial"/>
          <w:noProof/>
          <w:color w:val="31849B" w:themeColor="accent5" w:themeShade="BF"/>
          <w:sz w:val="28"/>
          <w:szCs w:val="28"/>
        </w:rPr>
        <w:t xml:space="preserve"> | </w:t>
      </w:r>
      <w:r w:rsidRPr="00AE7301">
        <w:rPr>
          <w:rFonts w:ascii="Arial" w:hAnsi="Arial"/>
          <w:noProof/>
          <w:sz w:val="28"/>
          <w:szCs w:val="28"/>
        </w:rPr>
        <w:t>11/3</w:t>
      </w:r>
      <w:r w:rsidRPr="00AE7301" w:rsidR="00CC477A">
        <w:rPr>
          <w:rFonts w:ascii="Arial" w:hAnsi="Arial"/>
          <w:sz w:val="28"/>
          <w:szCs w:val="28"/>
        </w:rPr>
        <w:t>/2016 11:00:00 AM</w:t>
      </w:r>
      <w:r w:rsidRPr="00AE7301">
        <w:rPr>
          <w:rFonts w:ascii="Arial" w:hAnsi="Arial"/>
          <w:noProof/>
          <w:sz w:val="28"/>
          <w:szCs w:val="28"/>
        </w:rPr>
        <w:t xml:space="preserve"> </w:t>
      </w:r>
      <w:r w:rsidRPr="00AE7301">
        <w:rPr>
          <w:rFonts w:ascii="Arial" w:hAnsi="Arial"/>
          <w:noProof/>
          <w:sz w:val="28"/>
          <w:szCs w:val="28"/>
        </w:rPr>
        <w:t>Mineola</w:t>
      </w:r>
      <w:r w:rsidRPr="00AE7301">
        <w:rPr>
          <w:rFonts w:ascii="Arial" w:hAnsi="Arial"/>
          <w:noProof/>
          <w:sz w:val="28"/>
          <w:szCs w:val="28"/>
        </w:rPr>
        <w:t xml:space="preserve"> </w:t>
      </w:r>
      <w:r w:rsidRPr="00AE7301">
        <w:rPr>
          <w:rFonts w:ascii="Arial" w:hAnsi="Arial"/>
          <w:noProof/>
          <w:sz w:val="28"/>
          <w:szCs w:val="28"/>
        </w:rPr>
        <w:t>NY</w:t>
      </w:r>
    </w:p>
    <w:p w:rsidR="00993B4D" w:rsidP="006A623D">
      <w:pPr>
        <w:spacing w:line="240" w:lineRule="auto"/>
        <w:rPr>
          <w:rFonts w:ascii="Arial" w:hAnsi="Arial"/>
          <w:color w:val="000000" w:themeColor="text1"/>
          <w:sz w:val="24"/>
          <w:szCs w:val="24"/>
        </w:rPr>
      </w:pPr>
      <w:r>
        <w:rPr>
          <w:rFonts w:ascii="Arial" w:hAnsi="Arial"/>
          <w:noProof/>
          <w:color w:val="000000" w:themeColor="text1"/>
          <w:sz w:val="24"/>
          <w:szCs w:val="24"/>
        </w:rPr>
        <w:t>Pancreatic cancer</w:t>
      </w:r>
      <w:r>
        <w:rPr>
          <w:rFonts w:ascii="Arial" w:hAnsi="Arial"/>
          <w:noProof/>
          <w:color w:val="000000" w:themeColor="text1"/>
          <w:sz w:val="24"/>
          <w:szCs w:val="24"/>
        </w:rPr>
        <w:t xml:space="preserve"> is the fourth leading cause of cancer death in the United States. The average 5-year survival is 6.7%, which is one of the lowest out of all cancer diagnoses. Pancreatic treatment and management options are constantly evolving to try to increase survival. Physicians along with the inter-professional team are challenged to stay current. This course offers a gathering of clinical experts who will emphasize a multi specialty team based approach to translating scientific knowledge into practice. Planners of this course hope learners will engage the faculty with thoughtful questions and leave with expanded medical knowledge and improved competence that will encourage changes in performance to improve care outcome for their patients.In April of 2015, Winthrop University Hospital’s Chief Medical Officer, Dr. Michael D. Ammazzalorso succumbed to pancreatic cancer and we have re-dedicated this important annual CME Symposium in memory of Dr. Ammazzalorso’s long service to Winthrop University Hospital and the Internal Medicine community.</w:t>
      </w:r>
    </w:p>
    <w:p w:rsid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Program Goal: </w:t>
      </w:r>
      <w:r>
        <w:rPr>
          <w:rFonts w:ascii="Arial" w:hAnsi="Arial" w:cs="Arial"/>
          <w:noProof/>
          <w:sz w:val="24"/>
          <w:szCs w:val="24"/>
        </w:rPr>
        <w:t xml:space="preserve">&lt;span </w:t>
      </w:r>
      <w:r>
        <w:rPr>
          <w:rFonts w:ascii="Arial" w:hAnsi="Arial" w:cs="Arial"/>
          <w:noProof/>
          <w:sz w:val="24"/>
          <w:szCs w:val="24"/>
        </w:rPr>
        <w:t>style="font-family: Univers-CondensedLight; font-size: 13px;"&gt;&lt;/span&gt;</w:t>
      </w:r>
    </w:p>
    <w:p w:rsidP="006A623D">
      <w:pPr>
        <w:spacing w:line="240" w:lineRule="auto"/>
        <w:rPr>
          <w:rFonts w:ascii="Arial" w:hAnsi="Arial" w:cs="Arial"/>
          <w:noProof/>
          <w:sz w:val="24"/>
          <w:szCs w:val="24"/>
        </w:rPr>
      </w:pPr>
      <w:r>
        <w:rPr>
          <w:rFonts w:ascii="Arial" w:hAnsi="Arial" w:cs="Arial"/>
          <w:noProof/>
          <w:sz w:val="24"/>
          <w:szCs w:val="24"/>
        </w:rPr>
        <w:t>&lt;p style="text-align: left;"&gt;At the end of this Symposium, learners should be able to:&lt;/p&gt;</w:t>
      </w:r>
    </w:p>
    <w:p w:rsidP="006A623D">
      <w:pPr>
        <w:spacing w:line="240" w:lineRule="auto"/>
        <w:rPr>
          <w:rFonts w:ascii="Arial" w:hAnsi="Arial" w:cs="Arial"/>
          <w:noProof/>
          <w:sz w:val="24"/>
          <w:szCs w:val="24"/>
        </w:rPr>
      </w:pPr>
      <w:r>
        <w:rPr>
          <w:rFonts w:ascii="Arial" w:hAnsi="Arial" w:cs="Arial"/>
          <w:noProof/>
          <w:sz w:val="24"/>
          <w:szCs w:val="24"/>
        </w:rPr>
        <w:t>&lt;p&gt;&amp;bull; Apply the most current treatments in pancreatic cancer (both surgical and non-surgical)</w:t>
      </w:r>
    </w:p>
    <w:p w:rsidP="006A623D">
      <w:pPr>
        <w:spacing w:line="240" w:lineRule="auto"/>
        <w:rPr>
          <w:rFonts w:ascii="Arial" w:hAnsi="Arial" w:cs="Arial"/>
          <w:noProof/>
          <w:sz w:val="24"/>
          <w:szCs w:val="24"/>
        </w:rPr>
      </w:pPr>
      <w:r>
        <w:rPr>
          <w:rFonts w:ascii="Arial" w:hAnsi="Arial" w:cs="Arial"/>
          <w:noProof/>
          <w:sz w:val="24"/>
          <w:szCs w:val="24"/>
        </w:rPr>
        <w:t>&lt;/p&gt;</w:t>
      </w:r>
    </w:p>
    <w:p w:rsidP="006A623D">
      <w:pPr>
        <w:spacing w:line="240" w:lineRule="auto"/>
        <w:rPr>
          <w:rFonts w:ascii="Arial" w:hAnsi="Arial" w:cs="Arial"/>
          <w:noProof/>
          <w:sz w:val="24"/>
          <w:szCs w:val="24"/>
        </w:rPr>
      </w:pPr>
      <w:r>
        <w:rPr>
          <w:rFonts w:ascii="Arial" w:hAnsi="Arial" w:cs="Arial"/>
          <w:noProof/>
          <w:sz w:val="24"/>
          <w:szCs w:val="24"/>
        </w:rPr>
        <w:t>&lt;p&gt;&amp;bull; Evaluate surgical approaches in the treatment of pancreatic cancer</w:t>
      </w:r>
    </w:p>
    <w:p w:rsidP="006A623D">
      <w:pPr>
        <w:spacing w:line="240" w:lineRule="auto"/>
        <w:rPr>
          <w:rFonts w:ascii="Arial" w:hAnsi="Arial" w:cs="Arial"/>
          <w:noProof/>
          <w:sz w:val="24"/>
          <w:szCs w:val="24"/>
        </w:rPr>
      </w:pPr>
      <w:r>
        <w:rPr>
          <w:rFonts w:ascii="Arial" w:hAnsi="Arial" w:cs="Arial"/>
          <w:noProof/>
          <w:sz w:val="24"/>
          <w:szCs w:val="24"/>
        </w:rPr>
        <w:t>&lt;/p&gt;</w:t>
      </w:r>
    </w:p>
    <w:p w:rsidP="006A623D">
      <w:pPr>
        <w:spacing w:line="240" w:lineRule="auto"/>
        <w:rPr>
          <w:rFonts w:ascii="Arial" w:hAnsi="Arial" w:cs="Arial"/>
          <w:noProof/>
          <w:sz w:val="24"/>
          <w:szCs w:val="24"/>
        </w:rPr>
      </w:pPr>
      <w:r>
        <w:rPr>
          <w:rFonts w:ascii="Arial" w:hAnsi="Arial" w:cs="Arial"/>
          <w:noProof/>
          <w:sz w:val="24"/>
          <w:szCs w:val="24"/>
        </w:rPr>
        <w:t>&lt;p&gt;&amp;bull; Prescribe more effective neo-adjuvant and adjuvant chemotherapy strategies to treat</w:t>
      </w:r>
    </w:p>
    <w:p w:rsidP="006A623D">
      <w:pPr>
        <w:spacing w:line="240" w:lineRule="auto"/>
        <w:rPr>
          <w:rFonts w:ascii="Arial" w:hAnsi="Arial" w:cs="Arial"/>
          <w:noProof/>
          <w:sz w:val="24"/>
          <w:szCs w:val="24"/>
        </w:rPr>
      </w:pPr>
      <w:r>
        <w:rPr>
          <w:rFonts w:ascii="Arial" w:hAnsi="Arial" w:cs="Arial"/>
          <w:noProof/>
          <w:sz w:val="24"/>
          <w:szCs w:val="24"/>
        </w:rPr>
        <w:t>pancreatic cancer&lt;/p&gt;</w:t>
      </w:r>
    </w:p>
    <w:p w:rsidP="006A623D">
      <w:pPr>
        <w:spacing w:line="240" w:lineRule="auto"/>
        <w:rPr>
          <w:rFonts w:ascii="Arial" w:hAnsi="Arial" w:cs="Arial"/>
          <w:noProof/>
          <w:sz w:val="24"/>
          <w:szCs w:val="24"/>
        </w:rPr>
      </w:pPr>
      <w:r>
        <w:rPr>
          <w:rFonts w:ascii="Arial" w:hAnsi="Arial" w:cs="Arial"/>
          <w:noProof/>
          <w:sz w:val="24"/>
          <w:szCs w:val="24"/>
        </w:rPr>
        <w:t>&lt;p&gt;&amp;bull; Summarize how immune-based strategies can detect pancreatic cancer and how new</w:t>
      </w:r>
    </w:p>
    <w:p w:rsidP="006A623D">
      <w:pPr>
        <w:spacing w:line="240" w:lineRule="auto"/>
        <w:rPr>
          <w:rFonts w:ascii="Arial" w:hAnsi="Arial" w:cs="Arial"/>
          <w:noProof/>
          <w:sz w:val="24"/>
          <w:szCs w:val="24"/>
        </w:rPr>
      </w:pPr>
      <w:r>
        <w:rPr>
          <w:rFonts w:ascii="Arial" w:hAnsi="Arial" w:cs="Arial"/>
          <w:noProof/>
          <w:sz w:val="24"/>
          <w:szCs w:val="24"/>
        </w:rPr>
        <w:t>immunological approaches can treat advance disease&lt;/p&gt;</w:t>
      </w:r>
    </w:p>
    <w:p w:rsidP="006A623D">
      <w:pPr>
        <w:spacing w:line="240" w:lineRule="auto"/>
        <w:rPr>
          <w:rFonts w:ascii="Arial" w:hAnsi="Arial" w:cs="Arial"/>
          <w:noProof/>
          <w:sz w:val="24"/>
          <w:szCs w:val="24"/>
        </w:rPr>
      </w:pPr>
      <w:r>
        <w:rPr>
          <w:rFonts w:ascii="Arial" w:hAnsi="Arial" w:cs="Arial"/>
          <w:noProof/>
          <w:sz w:val="24"/>
          <w:szCs w:val="24"/>
        </w:rPr>
        <w:t>&lt;p&gt;&amp;bull; Describe future therapies in pancreatic cancer&lt;/p&gt;</w:t>
      </w:r>
    </w:p>
    <w:p w:rsidP="006A623D">
      <w:pPr>
        <w:spacing w:line="240" w:lineRule="auto"/>
        <w:rPr>
          <w:rFonts w:ascii="Arial" w:hAnsi="Arial" w:cs="Arial"/>
          <w:noProof/>
          <w:sz w:val="24"/>
          <w:szCs w:val="24"/>
        </w:rPr>
      </w:pPr>
      <w:r>
        <w:rPr>
          <w:rFonts w:ascii="Arial" w:hAnsi="Arial" w:cs="Arial"/>
          <w:noProof/>
          <w:sz w:val="24"/>
          <w:szCs w:val="24"/>
        </w:rPr>
        <w:t>&lt;span style="font-family: Univers-CondensedLight; font-size: 13px;"&gt;&lt;/span&gt;</w:t>
      </w:r>
    </w:p>
    <w:p w:rsidR="00993B4D" w:rsidP="006A623D">
      <w:pPr>
        <w:spacing w:line="240" w:lineRule="auto"/>
        <w:rPr>
          <w:rFonts w:ascii="Arial" w:hAnsi="Arial"/>
          <w:color w:val="000000" w:themeColor="text1"/>
          <w:sz w:val="24"/>
          <w:szCs w:val="24"/>
        </w:rPr>
      </w:pPr>
    </w:p>
    <w:p w:rsidR="00993B4D" w:rsidP="006A623D">
      <w:pPr>
        <w:spacing w:line="240" w:lineRule="auto"/>
        <w:rPr>
          <w:rFonts w:ascii="Arial" w:hAnsi="Arial" w:cs="Arial"/>
          <w:noProof/>
          <w:sz w:val="24"/>
          <w:szCs w:val="24"/>
        </w:rPr>
      </w:pPr>
      <w:r w:rsidRPr="00BA7E52">
        <w:rPr>
          <w:rFonts w:ascii="Arial" w:hAnsi="Arial" w:cs="Arial"/>
          <w:sz w:val="24"/>
          <w:szCs w:val="24"/>
        </w:rPr>
        <w:t xml:space="preserve">Target Audience: </w:t>
      </w:r>
      <w:r>
        <w:rPr>
          <w:rFonts w:ascii="Arial" w:hAnsi="Arial" w:cs="Arial"/>
          <w:noProof/>
          <w:sz w:val="24"/>
          <w:szCs w:val="24"/>
        </w:rPr>
        <w:t>Gastroenterology/Hepatology</w:t>
      </w:r>
      <w:r>
        <w:rPr>
          <w:rFonts w:ascii="Arial" w:hAnsi="Arial" w:cs="Arial"/>
          <w:noProof/>
          <w:sz w:val="24"/>
          <w:szCs w:val="24"/>
        </w:rPr>
        <w:t>, Hematology/Oncology, Nursing, Surgery, Primary Care Provider(PCP)</w:t>
      </w:r>
    </w:p>
    <w:p w:rsidR="009A3B3F" w:rsidP="006A623D">
      <w:pPr>
        <w:spacing w:line="240" w:lineRule="auto"/>
        <w:rPr>
          <w:rFonts w:ascii="Arial" w:hAnsi="Arial" w:cs="Arial"/>
          <w:noProof/>
          <w:sz w:val="24"/>
          <w:szCs w:val="24"/>
        </w:rPr>
      </w:pPr>
      <w:r w:rsidRPr="00754C29">
        <w:rPr>
          <w:rFonts w:ascii="Arial" w:hAnsi="Arial" w:cs="Arial"/>
          <w:sz w:val="24"/>
          <w:szCs w:val="24"/>
        </w:rPr>
        <w:t xml:space="preserve">Faculty: </w:t>
      </w:r>
      <w:r>
        <w:rPr>
          <w:rFonts w:ascii="Arial" w:hAnsi="Arial" w:cs="Arial"/>
          <w:noProof/>
          <w:sz w:val="24"/>
          <w:szCs w:val="24"/>
        </w:rPr>
        <w:t>John  Allendorf</w:t>
      </w:r>
      <w:r>
        <w:rPr>
          <w:rFonts w:ascii="Arial" w:hAnsi="Arial" w:cs="Arial"/>
          <w:noProof/>
          <w:sz w:val="24"/>
          <w:szCs w:val="24"/>
        </w:rPr>
        <w:t>, MD</w:t>
      </w:r>
    </w:p>
    <w:p w:rsidP="006A623D">
      <w:pPr>
        <w:spacing w:line="240" w:lineRule="auto"/>
        <w:rPr>
          <w:rFonts w:ascii="Arial" w:hAnsi="Arial" w:cs="Arial"/>
          <w:noProof/>
          <w:sz w:val="24"/>
          <w:szCs w:val="24"/>
        </w:rPr>
      </w:pPr>
      <w:r>
        <w:rPr>
          <w:rFonts w:ascii="Arial" w:hAnsi="Arial" w:cs="Arial"/>
          <w:noProof/>
          <w:sz w:val="24"/>
          <w:szCs w:val="24"/>
        </w:rPr>
        <w:t>Susan E. Bates, MD</w:t>
      </w:r>
    </w:p>
    <w:p w:rsidP="006A623D">
      <w:pPr>
        <w:spacing w:line="240" w:lineRule="auto"/>
        <w:rPr>
          <w:rFonts w:ascii="Arial" w:hAnsi="Arial" w:cs="Arial"/>
          <w:noProof/>
          <w:sz w:val="24"/>
          <w:szCs w:val="24"/>
        </w:rPr>
      </w:pPr>
      <w:r>
        <w:rPr>
          <w:rFonts w:ascii="Arial" w:hAnsi="Arial" w:cs="Arial"/>
          <w:noProof/>
          <w:sz w:val="24"/>
          <w:szCs w:val="24"/>
        </w:rPr>
        <w:t>Marcia Irene  Canto, MD</w:t>
      </w:r>
    </w:p>
    <w:p w:rsidP="006A623D">
      <w:pPr>
        <w:spacing w:line="240" w:lineRule="auto"/>
        <w:rPr>
          <w:rFonts w:ascii="Arial" w:hAnsi="Arial" w:cs="Arial"/>
          <w:noProof/>
          <w:sz w:val="24"/>
          <w:szCs w:val="24"/>
        </w:rPr>
      </w:pPr>
      <w:r>
        <w:rPr>
          <w:rFonts w:ascii="Arial" w:hAnsi="Arial" w:cs="Arial"/>
          <w:noProof/>
          <w:sz w:val="24"/>
          <w:szCs w:val="24"/>
        </w:rPr>
        <w:t>Alexander  Hindenburg, MD</w:t>
      </w:r>
    </w:p>
    <w:p w:rsidP="006A623D">
      <w:pPr>
        <w:spacing w:line="240" w:lineRule="auto"/>
        <w:rPr>
          <w:rFonts w:ascii="Arial" w:hAnsi="Arial" w:cs="Arial"/>
          <w:noProof/>
          <w:sz w:val="24"/>
          <w:szCs w:val="24"/>
        </w:rPr>
      </w:pPr>
      <w:r>
        <w:rPr>
          <w:rFonts w:ascii="Arial" w:hAnsi="Arial" w:cs="Arial"/>
          <w:noProof/>
          <w:sz w:val="24"/>
          <w:szCs w:val="24"/>
        </w:rPr>
        <w:t>Herve  Tiriac, PhD</w:t>
      </w:r>
    </w:p>
    <w:p w:rsidP="006A623D">
      <w:pPr>
        <w:spacing w:line="240" w:lineRule="auto"/>
        <w:rPr>
          <w:rFonts w:ascii="Arial" w:hAnsi="Arial" w:cs="Arial"/>
          <w:noProof/>
          <w:sz w:val="24"/>
          <w:szCs w:val="24"/>
        </w:rPr>
      </w:pPr>
      <w:r>
        <w:rPr>
          <w:rFonts w:ascii="Arial" w:hAnsi="Arial" w:cs="Arial"/>
          <w:noProof/>
          <w:sz w:val="24"/>
          <w:szCs w:val="24"/>
        </w:rPr>
        <w:t>Megan  Winner, MD</w:t>
      </w:r>
    </w:p>
    <w:p w:rsidR="009A3B3F" w:rsidP="006A623D">
      <w:pPr>
        <w:spacing w:line="240" w:lineRule="auto"/>
        <w:rPr>
          <w:rFonts w:ascii="Arial" w:hAnsi="Arial" w:cs="Arial"/>
          <w:noProof/>
          <w:sz w:val="24"/>
          <w:szCs w:val="24"/>
        </w:rPr>
      </w:pPr>
    </w:p>
    <w:p w:rsidR="009A3B3F" w:rsidP="006A623D">
      <w:pPr>
        <w:spacing w:line="240" w:lineRule="auto"/>
        <w:rPr>
          <w:rFonts w:ascii="Arial" w:hAnsi="Arial" w:cs="Arial"/>
          <w:sz w:val="24"/>
          <w:szCs w:val="24"/>
        </w:rPr>
      </w:pPr>
      <w:r>
        <w:rPr>
          <w:rFonts w:ascii="Arial" w:hAnsi="Arial" w:cs="Arial"/>
          <w:sz w:val="24"/>
          <w:szCs w:val="24"/>
        </w:rPr>
        <w:t>Misc</w:t>
      </w:r>
      <w:r w:rsidRPr="00754C29">
        <w:rPr>
          <w:rFonts w:ascii="Arial" w:hAnsi="Arial" w:cs="Arial"/>
          <w:sz w:val="24"/>
          <w:szCs w:val="24"/>
        </w:rPr>
        <w:t xml:space="preserve">: </w:t>
      </w:r>
    </w:p>
    <w:p w:rsidR="00B22CA8" w:rsidRPr="00B22CA8" w:rsidP="00B22CA8">
      <w:pPr>
        <w:spacing w:line="240" w:lineRule="auto"/>
        <w:rPr>
          <w:rFonts w:ascii="Arial" w:hAnsi="Arial" w:cs="Arial"/>
          <w:sz w:val="20"/>
          <w:szCs w:val="20"/>
        </w:rPr>
      </w:pPr>
      <w:r w:rsidRPr="00B22CA8">
        <w:rPr>
          <w:rFonts w:ascii="Arial" w:hAnsi="Arial" w:cs="Arial"/>
          <w:sz w:val="20"/>
          <w:szCs w:val="20"/>
        </w:rPr>
        <w:t>Winthrop-University Hospital is Accredited With Commendation by the Accreditation Council for Continuing Medical Education to provide continuing medical education for physicians.</w:t>
      </w:r>
    </w:p>
    <w:p w:rsidR="00993B4D" w:rsidP="003B6C7B">
      <w:pPr>
        <w:spacing w:line="240" w:lineRule="auto"/>
        <w:rPr>
          <w:rFonts w:ascii="Arial" w:hAnsi="Arial" w:cs="Arial"/>
          <w:sz w:val="20"/>
          <w:szCs w:val="20"/>
        </w:rPr>
      </w:pPr>
      <w:r w:rsidRPr="00B22CA8">
        <w:rPr>
          <w:rFonts w:ascii="Arial" w:hAnsi="Arial" w:cs="Arial"/>
          <w:sz w:val="20"/>
          <w:szCs w:val="20"/>
        </w:rPr>
        <w:t xml:space="preserve">Winthrop-University Hospital </w:t>
      </w:r>
      <w:bookmarkStart w:id="0" w:name="_GoBack"/>
      <w:bookmarkEnd w:id="0"/>
      <w:r w:rsidRPr="00754C29">
        <w:rPr>
          <w:rFonts w:ascii="Arial" w:hAnsi="Arial" w:cs="Arial"/>
          <w:sz w:val="20"/>
          <w:szCs w:val="20"/>
        </w:rPr>
        <w:t xml:space="preserve">designates this educational activity for a maximum of </w:t>
      </w:r>
      <w:r>
        <w:rPr>
          <w:rFonts w:ascii="Arial" w:hAnsi="Arial" w:cs="Arial"/>
          <w:noProof/>
        </w:rPr>
        <w:t>4.25</w:t>
      </w:r>
      <w:r w:rsidRPr="00754C29">
        <w:rPr>
          <w:rFonts w:ascii="Arial" w:hAnsi="Arial" w:cs="Arial"/>
        </w:rPr>
        <w:t xml:space="preserve"> </w:t>
      </w:r>
      <w:r w:rsidRPr="00754C29">
        <w:rPr>
          <w:rFonts w:ascii="Arial" w:hAnsi="Arial" w:cs="Arial"/>
          <w:sz w:val="20"/>
          <w:szCs w:val="20"/>
        </w:rPr>
        <w:t>AMA PRA Category 1 Credit. Physicians should only claim credit commensurate with the extent of their participation in the activity.</w:t>
      </w:r>
    </w:p>
    <w:p w:rsidR="00993B4D" w:rsidRP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For questions, call _______________ or email </w:t>
      </w:r>
      <w:r>
        <w:rPr>
          <w:rFonts w:ascii="Arial" w:hAnsi="Arial" w:cs="Arial"/>
          <w:noProof/>
          <w:sz w:val="24"/>
          <w:szCs w:val="24"/>
        </w:rPr>
        <w:t>AcademicRegistrar@winthrop</w:t>
      </w:r>
      <w:r>
        <w:rPr>
          <w:rFonts w:ascii="Arial" w:hAnsi="Arial" w:cs="Arial"/>
          <w:noProof/>
          <w:sz w:val="24"/>
          <w:szCs w:val="24"/>
        </w:rPr>
        <w:t>.org</w:t>
      </w:r>
      <w:r w:rsidRPr="00BA7E52">
        <w:rPr>
          <w:rFonts w:ascii="Arial" w:hAnsi="Arial" w:cs="Arial"/>
          <w:sz w:val="24"/>
          <w:szCs w:val="24"/>
        </w:rPr>
        <w:t>.</w:t>
      </w:r>
    </w:p>
    <w:sectPr w:rsidSect="00993B4D">
      <w:pgSz w:w="15840" w:h="12240" w:orient="landscape"/>
      <w:pgMar w:top="1008" w:right="1080"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157</Words>
  <Characters>901</Characters>
  <Application>Microsoft Office Word</Application>
  <DocSecurity>0</DocSecurity>
  <Lines>7</Lines>
  <Paragraphs>2</Paragraphs>
  <ScaleCrop>false</ScaleCrop>
  <Company>A</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Beverly Millard</cp:lastModifiedBy>
  <cp:revision>10</cp:revision>
  <dcterms:created xsi:type="dcterms:W3CDTF">2016-02-10T14:54:00Z</dcterms:created>
  <dcterms:modified xsi:type="dcterms:W3CDTF">2016-08-29T13:26:00Z</dcterms:modified>
</cp:coreProperties>
</file>